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6A34" w14:textId="77777777" w:rsidR="00541EF2" w:rsidRDefault="00516F38">
      <w:pPr>
        <w:jc w:val="center"/>
      </w:pPr>
      <w:r>
        <w:rPr>
          <w:noProof/>
        </w:rPr>
        <w:drawing>
          <wp:inline distT="0" distB="0" distL="0" distR="0" wp14:anchorId="33D7F28F" wp14:editId="7E8123FF">
            <wp:extent cx="18859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885950" cy="733425"/>
                    </a:xfrm>
                    <a:prstGeom prst="rect">
                      <a:avLst/>
                    </a:prstGeom>
                  </pic:spPr>
                </pic:pic>
              </a:graphicData>
            </a:graphic>
          </wp:inline>
        </w:drawing>
      </w:r>
    </w:p>
    <w:p w14:paraId="5044241B" w14:textId="77777777" w:rsidR="00541EF2" w:rsidRDefault="00541EF2"/>
    <w:p w14:paraId="612A0A21" w14:textId="77777777" w:rsidR="00541EF2" w:rsidRDefault="00516F38">
      <w:pPr>
        <w:jc w:val="center"/>
      </w:pPr>
      <w:r>
        <w:rPr>
          <w:b/>
          <w:bCs/>
          <w:color w:val="2F5496"/>
          <w:sz w:val="26"/>
          <w:szCs w:val="26"/>
        </w:rPr>
        <w:t>MEETING MINUTES</w:t>
      </w:r>
    </w:p>
    <w:p w14:paraId="24D38A87" w14:textId="77777777" w:rsidR="00541EF2" w:rsidRDefault="00541EF2"/>
    <w:p w14:paraId="62761E27" w14:textId="77777777" w:rsidR="00541EF2" w:rsidRDefault="00516F38">
      <w:pPr>
        <w:jc w:val="center"/>
      </w:pPr>
      <w:r>
        <w:rPr>
          <w:b/>
          <w:bCs/>
        </w:rPr>
        <w:t>February 11, 2026 – 7:30-9:30am</w:t>
      </w:r>
    </w:p>
    <w:p w14:paraId="686FB873" w14:textId="77777777" w:rsidR="00541EF2" w:rsidRDefault="00516F38">
      <w:pPr>
        <w:jc w:val="center"/>
      </w:pPr>
      <w:r>
        <w:rPr>
          <w:b/>
          <w:bCs/>
          <w:i/>
          <w:iCs/>
        </w:rPr>
        <w:t>Meeting held in-person at the</w:t>
      </w:r>
    </w:p>
    <w:p w14:paraId="2103FE67" w14:textId="77777777" w:rsidR="00541EF2" w:rsidRDefault="00516F38">
      <w:pPr>
        <w:jc w:val="center"/>
      </w:pPr>
      <w:r>
        <w:rPr>
          <w:b/>
          <w:bCs/>
          <w:i/>
          <w:iCs/>
        </w:rPr>
        <w:t>Ruby River Hotel, 700 N Division St – Shoreline A Ballroom and via Teams</w:t>
      </w:r>
    </w:p>
    <w:p w14:paraId="31437B1A" w14:textId="77777777" w:rsidR="00541EF2" w:rsidRDefault="00541EF2"/>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30E47D1B" w14:textId="77777777" w:rsidTr="00916890">
        <w:tc>
          <w:tcPr>
            <w:tcW w:w="9360" w:type="dxa"/>
            <w:gridSpan w:val="3"/>
          </w:tcPr>
          <w:p w14:paraId="04D66B71" w14:textId="77777777" w:rsidR="00541EF2" w:rsidRDefault="00516F38">
            <w:r>
              <w:rPr>
                <w:b/>
                <w:bCs/>
              </w:rPr>
              <w:t>MEMBERS PRESENT:</w:t>
            </w:r>
          </w:p>
        </w:tc>
      </w:tr>
      <w:tr w:rsidR="001247D2" w14:paraId="104DBC25" w14:textId="77777777" w:rsidTr="00916890">
        <w:tc>
          <w:tcPr>
            <w:tcW w:w="3120" w:type="dxa"/>
          </w:tcPr>
          <w:p w14:paraId="48A05158" w14:textId="77777777" w:rsidR="001247D2" w:rsidRDefault="001247D2" w:rsidP="001247D2">
            <w:r>
              <w:t>Tracy Ballard</w:t>
            </w:r>
          </w:p>
        </w:tc>
        <w:tc>
          <w:tcPr>
            <w:tcW w:w="3120" w:type="dxa"/>
          </w:tcPr>
          <w:p w14:paraId="495D8352" w14:textId="020E6DF1" w:rsidR="001247D2" w:rsidRDefault="001247D2" w:rsidP="001247D2">
            <w:r>
              <w:t>Robert Duron</w:t>
            </w:r>
          </w:p>
        </w:tc>
        <w:tc>
          <w:tcPr>
            <w:tcW w:w="3120" w:type="dxa"/>
          </w:tcPr>
          <w:p w14:paraId="2383BF47" w14:textId="2D7F6522" w:rsidR="001247D2" w:rsidRDefault="001247D2" w:rsidP="001247D2">
            <w:r>
              <w:t>Julie Orchard</w:t>
            </w:r>
          </w:p>
        </w:tc>
      </w:tr>
      <w:tr w:rsidR="001247D2" w14:paraId="3E902C41" w14:textId="77777777" w:rsidTr="00916890">
        <w:tc>
          <w:tcPr>
            <w:tcW w:w="3120" w:type="dxa"/>
          </w:tcPr>
          <w:p w14:paraId="11379782" w14:textId="5C7BE87D" w:rsidR="001247D2" w:rsidRDefault="001247D2" w:rsidP="001247D2">
            <w:r>
              <w:t xml:space="preserve">Patti Borchardt </w:t>
            </w:r>
          </w:p>
        </w:tc>
        <w:tc>
          <w:tcPr>
            <w:tcW w:w="3120" w:type="dxa"/>
          </w:tcPr>
          <w:p w14:paraId="1CBC1552" w14:textId="43C075E2" w:rsidR="001247D2" w:rsidRDefault="001247D2" w:rsidP="001247D2">
            <w:r>
              <w:t>Doug Edmonson</w:t>
            </w:r>
          </w:p>
        </w:tc>
        <w:tc>
          <w:tcPr>
            <w:tcW w:w="3120" w:type="dxa"/>
          </w:tcPr>
          <w:p w14:paraId="768A9C04" w14:textId="0B579089" w:rsidR="001247D2" w:rsidRDefault="001247D2" w:rsidP="001247D2">
            <w:r>
              <w:t>John Parker</w:t>
            </w:r>
          </w:p>
        </w:tc>
      </w:tr>
      <w:tr w:rsidR="001247D2" w14:paraId="79F3E495" w14:textId="77777777" w:rsidTr="00916890">
        <w:tc>
          <w:tcPr>
            <w:tcW w:w="3120" w:type="dxa"/>
          </w:tcPr>
          <w:p w14:paraId="04078114" w14:textId="00AA76CE" w:rsidR="001247D2" w:rsidRDefault="001247D2" w:rsidP="001247D2">
            <w:r>
              <w:t>Toby Broemmeling</w:t>
            </w:r>
          </w:p>
        </w:tc>
        <w:tc>
          <w:tcPr>
            <w:tcW w:w="3120" w:type="dxa"/>
          </w:tcPr>
          <w:p w14:paraId="2EEF8EB2" w14:textId="4977253C" w:rsidR="001247D2" w:rsidRDefault="001247D2" w:rsidP="001247D2">
            <w:r>
              <w:t>Erika Henry</w:t>
            </w:r>
          </w:p>
        </w:tc>
        <w:tc>
          <w:tcPr>
            <w:tcW w:w="3120" w:type="dxa"/>
          </w:tcPr>
          <w:p w14:paraId="3741FF82" w14:textId="323FDB3F" w:rsidR="001247D2" w:rsidRDefault="001247D2" w:rsidP="001247D2">
            <w:r>
              <w:t>Diane Quincy</w:t>
            </w:r>
          </w:p>
        </w:tc>
      </w:tr>
      <w:tr w:rsidR="001247D2" w14:paraId="422692C4" w14:textId="77777777" w:rsidTr="00916890">
        <w:tc>
          <w:tcPr>
            <w:tcW w:w="3120" w:type="dxa"/>
          </w:tcPr>
          <w:p w14:paraId="3BFE9B8C" w14:textId="77777777" w:rsidR="001247D2" w:rsidRDefault="001247D2" w:rsidP="001247D2">
            <w:r>
              <w:t>Kelley Charvet</w:t>
            </w:r>
          </w:p>
        </w:tc>
        <w:tc>
          <w:tcPr>
            <w:tcW w:w="3120" w:type="dxa"/>
          </w:tcPr>
          <w:p w14:paraId="31A20CD9" w14:textId="7ADC493B" w:rsidR="001247D2" w:rsidRDefault="001247D2" w:rsidP="001247D2">
            <w:r>
              <w:t>Scott Holstrom</w:t>
            </w:r>
          </w:p>
        </w:tc>
        <w:tc>
          <w:tcPr>
            <w:tcW w:w="3120" w:type="dxa"/>
          </w:tcPr>
          <w:p w14:paraId="30D3A325" w14:textId="26AB39CE" w:rsidR="001247D2" w:rsidRDefault="001247D2" w:rsidP="001247D2">
            <w:r>
              <w:t>Joel White</w:t>
            </w:r>
          </w:p>
        </w:tc>
      </w:tr>
      <w:tr w:rsidR="001247D2" w14:paraId="4DF0059E" w14:textId="77777777" w:rsidTr="00916890">
        <w:tc>
          <w:tcPr>
            <w:tcW w:w="3120" w:type="dxa"/>
          </w:tcPr>
          <w:p w14:paraId="5CD93840" w14:textId="77777777" w:rsidR="001247D2" w:rsidRDefault="001247D2" w:rsidP="001247D2">
            <w:r>
              <w:t>Rebecca Cook (Virtual)</w:t>
            </w:r>
          </w:p>
        </w:tc>
        <w:tc>
          <w:tcPr>
            <w:tcW w:w="3120" w:type="dxa"/>
          </w:tcPr>
          <w:p w14:paraId="144FE14B" w14:textId="6FF265D9" w:rsidR="001247D2" w:rsidRDefault="001247D2" w:rsidP="001247D2">
            <w:r>
              <w:t>Dr. Wade Larson</w:t>
            </w:r>
          </w:p>
        </w:tc>
        <w:tc>
          <w:tcPr>
            <w:tcW w:w="3120" w:type="dxa"/>
          </w:tcPr>
          <w:p w14:paraId="5782BF41" w14:textId="11D55EB1" w:rsidR="001247D2" w:rsidRDefault="001247D2" w:rsidP="001247D2">
            <w:r>
              <w:t>Diana Wilhite</w:t>
            </w:r>
          </w:p>
        </w:tc>
      </w:tr>
      <w:tr w:rsidR="001247D2" w14:paraId="1321CD63" w14:textId="77777777" w:rsidTr="00916890">
        <w:tc>
          <w:tcPr>
            <w:tcW w:w="3120" w:type="dxa"/>
          </w:tcPr>
          <w:p w14:paraId="0C14528C" w14:textId="77777777" w:rsidR="001247D2" w:rsidRDefault="001247D2" w:rsidP="001247D2">
            <w:r>
              <w:t>Mary Crago</w:t>
            </w:r>
          </w:p>
        </w:tc>
        <w:tc>
          <w:tcPr>
            <w:tcW w:w="3120" w:type="dxa"/>
          </w:tcPr>
          <w:p w14:paraId="02AF77AA" w14:textId="413A3B21" w:rsidR="001247D2" w:rsidRDefault="001247D2" w:rsidP="001247D2">
            <w:r>
              <w:t>Tina Morrison</w:t>
            </w:r>
          </w:p>
        </w:tc>
        <w:tc>
          <w:tcPr>
            <w:tcW w:w="3120" w:type="dxa"/>
          </w:tcPr>
          <w:p w14:paraId="208E6E15" w14:textId="6202F1DF" w:rsidR="001247D2" w:rsidRDefault="001247D2" w:rsidP="001247D2"/>
        </w:tc>
      </w:tr>
      <w:tr w:rsidR="001247D2" w14:paraId="2E331581" w14:textId="77777777" w:rsidTr="00916890">
        <w:tc>
          <w:tcPr>
            <w:tcW w:w="3120" w:type="dxa"/>
          </w:tcPr>
          <w:p w14:paraId="1C69FAF2" w14:textId="77777777" w:rsidR="001247D2" w:rsidRDefault="001247D2" w:rsidP="001247D2"/>
          <w:p w14:paraId="12D10A76" w14:textId="025B4262" w:rsidR="00916890" w:rsidRDefault="00916890" w:rsidP="001247D2"/>
        </w:tc>
        <w:tc>
          <w:tcPr>
            <w:tcW w:w="3120" w:type="dxa"/>
          </w:tcPr>
          <w:p w14:paraId="788B0CE2" w14:textId="6CA4340F" w:rsidR="001247D2" w:rsidRDefault="001247D2" w:rsidP="001247D2"/>
        </w:tc>
        <w:tc>
          <w:tcPr>
            <w:tcW w:w="3120" w:type="dxa"/>
          </w:tcPr>
          <w:p w14:paraId="097A26E7" w14:textId="77777777" w:rsidR="001247D2" w:rsidRDefault="001247D2" w:rsidP="001247D2"/>
        </w:tc>
      </w:tr>
      <w:tr w:rsidR="001247D2" w14:paraId="15E66652" w14:textId="77777777" w:rsidTr="00916890">
        <w:tc>
          <w:tcPr>
            <w:tcW w:w="3120" w:type="dxa"/>
          </w:tcPr>
          <w:p w14:paraId="78CCC86E" w14:textId="77777777" w:rsidR="001247D2" w:rsidRDefault="001247D2" w:rsidP="001247D2"/>
        </w:tc>
        <w:tc>
          <w:tcPr>
            <w:tcW w:w="3120" w:type="dxa"/>
          </w:tcPr>
          <w:p w14:paraId="63322A9B" w14:textId="77777777" w:rsidR="001247D2" w:rsidRDefault="001247D2" w:rsidP="001247D2"/>
        </w:tc>
        <w:tc>
          <w:tcPr>
            <w:tcW w:w="3120" w:type="dxa"/>
          </w:tcPr>
          <w:p w14:paraId="169965E3" w14:textId="77777777" w:rsidR="001247D2" w:rsidRDefault="001247D2" w:rsidP="001247D2"/>
        </w:tc>
      </w:tr>
      <w:tr w:rsidR="001247D2" w14:paraId="7C4B8089" w14:textId="77777777" w:rsidTr="00916890">
        <w:tc>
          <w:tcPr>
            <w:tcW w:w="3120" w:type="dxa"/>
          </w:tcPr>
          <w:p w14:paraId="42F01BC0" w14:textId="77777777" w:rsidR="001247D2" w:rsidRPr="009F30FA" w:rsidRDefault="001247D2" w:rsidP="001247D2">
            <w:pPr>
              <w:rPr>
                <w:b/>
                <w:bCs/>
              </w:rPr>
            </w:pPr>
            <w:r w:rsidRPr="009F30FA">
              <w:rPr>
                <w:b/>
                <w:bCs/>
              </w:rPr>
              <w:t>Elected Officials Present:</w:t>
            </w:r>
          </w:p>
        </w:tc>
        <w:tc>
          <w:tcPr>
            <w:tcW w:w="3120" w:type="dxa"/>
          </w:tcPr>
          <w:p w14:paraId="106564ED" w14:textId="77777777" w:rsidR="001247D2" w:rsidRDefault="001247D2" w:rsidP="001247D2"/>
        </w:tc>
        <w:tc>
          <w:tcPr>
            <w:tcW w:w="3120" w:type="dxa"/>
          </w:tcPr>
          <w:p w14:paraId="1CDD9936" w14:textId="77777777" w:rsidR="001247D2" w:rsidRDefault="001247D2" w:rsidP="001247D2"/>
        </w:tc>
      </w:tr>
      <w:tr w:rsidR="001247D2" w14:paraId="60DCFAD4" w14:textId="77777777" w:rsidTr="00916890">
        <w:tc>
          <w:tcPr>
            <w:tcW w:w="3120" w:type="dxa"/>
          </w:tcPr>
          <w:p w14:paraId="778EF264" w14:textId="441DD22F" w:rsidR="001247D2" w:rsidRDefault="001247D2" w:rsidP="001247D2">
            <w:r>
              <w:t>Josh Kerns (virtual)</w:t>
            </w:r>
          </w:p>
        </w:tc>
        <w:tc>
          <w:tcPr>
            <w:tcW w:w="3120" w:type="dxa"/>
          </w:tcPr>
          <w:p w14:paraId="41F5D273" w14:textId="08D5F868" w:rsidR="001247D2" w:rsidRDefault="001247D2" w:rsidP="001247D2">
            <w:r>
              <w:t>Steve MacDonald</w:t>
            </w:r>
          </w:p>
        </w:tc>
        <w:tc>
          <w:tcPr>
            <w:tcW w:w="3120" w:type="dxa"/>
          </w:tcPr>
          <w:p w14:paraId="0E9763D1" w14:textId="1B12511F" w:rsidR="001247D2" w:rsidRDefault="001247D2" w:rsidP="001247D2">
            <w:r>
              <w:t>Ron Valencia (designee)</w:t>
            </w:r>
          </w:p>
        </w:tc>
      </w:tr>
    </w:tbl>
    <w:p w14:paraId="188F6FCF" w14:textId="77777777" w:rsidR="00541EF2" w:rsidRDefault="00541EF2"/>
    <w:p w14:paraId="5778A368" w14:textId="77777777" w:rsidR="00916890" w:rsidRDefault="00916890"/>
    <w:p w14:paraId="0AA2952D" w14:textId="77777777" w:rsidR="00916890" w:rsidRDefault="00916890"/>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77510D5A" w14:textId="77777777" w:rsidTr="00916890">
        <w:tc>
          <w:tcPr>
            <w:tcW w:w="9360" w:type="dxa"/>
            <w:gridSpan w:val="3"/>
          </w:tcPr>
          <w:p w14:paraId="51C1150A" w14:textId="77777777" w:rsidR="00541EF2" w:rsidRDefault="00516F38">
            <w:r>
              <w:rPr>
                <w:b/>
                <w:bCs/>
              </w:rPr>
              <w:t>MEMBERS ABSENT:</w:t>
            </w:r>
          </w:p>
        </w:tc>
      </w:tr>
      <w:tr w:rsidR="001247D2" w14:paraId="64BB2F1F" w14:textId="77777777" w:rsidTr="00916890">
        <w:tc>
          <w:tcPr>
            <w:tcW w:w="3120" w:type="dxa"/>
          </w:tcPr>
          <w:p w14:paraId="7B7A2509" w14:textId="77777777" w:rsidR="001247D2" w:rsidRDefault="001247D2" w:rsidP="001247D2">
            <w:r>
              <w:t>Mayor Lisa Brown</w:t>
            </w:r>
          </w:p>
        </w:tc>
        <w:tc>
          <w:tcPr>
            <w:tcW w:w="3120" w:type="dxa"/>
          </w:tcPr>
          <w:p w14:paraId="17EBC77A" w14:textId="62C788DC" w:rsidR="001247D2" w:rsidRDefault="001247D2" w:rsidP="001247D2">
            <w:r>
              <w:t>Dr. Shari McMahan</w:t>
            </w:r>
          </w:p>
        </w:tc>
        <w:tc>
          <w:tcPr>
            <w:tcW w:w="3120" w:type="dxa"/>
          </w:tcPr>
          <w:p w14:paraId="4B505AE0" w14:textId="1A20CA60" w:rsidR="001247D2" w:rsidRDefault="001247D2" w:rsidP="001247D2">
            <w:r>
              <w:t>Christina Vigil Gross</w:t>
            </w:r>
          </w:p>
        </w:tc>
      </w:tr>
      <w:tr w:rsidR="001247D2" w14:paraId="40615ACA" w14:textId="77777777" w:rsidTr="00916890">
        <w:tc>
          <w:tcPr>
            <w:tcW w:w="3120" w:type="dxa"/>
          </w:tcPr>
          <w:p w14:paraId="7C0B99BD" w14:textId="77777777" w:rsidR="001247D2" w:rsidRDefault="001247D2" w:rsidP="001247D2">
            <w:r>
              <w:t>Dr. Kevin Brockbank</w:t>
            </w:r>
          </w:p>
        </w:tc>
        <w:tc>
          <w:tcPr>
            <w:tcW w:w="3120" w:type="dxa"/>
          </w:tcPr>
          <w:p w14:paraId="6415F3ED" w14:textId="0A3201D7" w:rsidR="001247D2" w:rsidRDefault="001247D2" w:rsidP="001247D2">
            <w:r>
              <w:t>Suzanne Schmidt</w:t>
            </w:r>
          </w:p>
        </w:tc>
        <w:tc>
          <w:tcPr>
            <w:tcW w:w="3120" w:type="dxa"/>
          </w:tcPr>
          <w:p w14:paraId="393BA623" w14:textId="77008FCD" w:rsidR="001247D2" w:rsidRDefault="001247D2" w:rsidP="001247D2">
            <w:r>
              <w:t>Kimberly Watkins</w:t>
            </w:r>
          </w:p>
        </w:tc>
      </w:tr>
      <w:tr w:rsidR="001247D2" w14:paraId="383815C5" w14:textId="77777777" w:rsidTr="00916890">
        <w:tc>
          <w:tcPr>
            <w:tcW w:w="3120" w:type="dxa"/>
          </w:tcPr>
          <w:p w14:paraId="71E4DB8F" w14:textId="0A22AFDE" w:rsidR="001247D2" w:rsidRDefault="001247D2" w:rsidP="001247D2">
            <w:r>
              <w:t>Lori Hunley</w:t>
            </w:r>
          </w:p>
        </w:tc>
        <w:tc>
          <w:tcPr>
            <w:tcW w:w="3120" w:type="dxa"/>
          </w:tcPr>
          <w:p w14:paraId="73C7F787" w14:textId="3F32F438" w:rsidR="001247D2" w:rsidRDefault="001247D2" w:rsidP="001247D2"/>
        </w:tc>
        <w:tc>
          <w:tcPr>
            <w:tcW w:w="3120" w:type="dxa"/>
          </w:tcPr>
          <w:p w14:paraId="596FFC8A" w14:textId="5E3F619C" w:rsidR="001247D2" w:rsidRDefault="001247D2" w:rsidP="001247D2"/>
        </w:tc>
      </w:tr>
    </w:tbl>
    <w:p w14:paraId="5AA80606" w14:textId="77777777" w:rsidR="00541EF2" w:rsidRDefault="00541EF2"/>
    <w:p w14:paraId="5FD00427" w14:textId="77777777" w:rsidR="00916890" w:rsidRDefault="00916890"/>
    <w:p w14:paraId="016B2251" w14:textId="77777777" w:rsidR="00916890" w:rsidRDefault="00916890"/>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3042AC55" w14:textId="77777777" w:rsidTr="00916890">
        <w:tc>
          <w:tcPr>
            <w:tcW w:w="9360" w:type="dxa"/>
            <w:gridSpan w:val="3"/>
          </w:tcPr>
          <w:p w14:paraId="7AFBFDC0" w14:textId="77777777" w:rsidR="00541EF2" w:rsidRDefault="00516F38">
            <w:r>
              <w:rPr>
                <w:b/>
                <w:bCs/>
              </w:rPr>
              <w:t>OTHERS PRESENT:</w:t>
            </w:r>
          </w:p>
        </w:tc>
      </w:tr>
      <w:tr w:rsidR="001247D2" w14:paraId="2BABDDFD" w14:textId="77777777" w:rsidTr="00916890">
        <w:tc>
          <w:tcPr>
            <w:tcW w:w="3120" w:type="dxa"/>
          </w:tcPr>
          <w:p w14:paraId="08D9FCD8" w14:textId="5DCB70FC" w:rsidR="001247D2" w:rsidRDefault="001247D2" w:rsidP="001247D2">
            <w:r>
              <w:t>Max Baca</w:t>
            </w:r>
          </w:p>
        </w:tc>
        <w:tc>
          <w:tcPr>
            <w:tcW w:w="3120" w:type="dxa"/>
          </w:tcPr>
          <w:p w14:paraId="2DC59448" w14:textId="044E8D54" w:rsidR="001247D2" w:rsidRDefault="001247D2" w:rsidP="001247D2">
            <w:r>
              <w:t>Michelle Griffith</w:t>
            </w:r>
          </w:p>
        </w:tc>
        <w:tc>
          <w:tcPr>
            <w:tcW w:w="3120" w:type="dxa"/>
          </w:tcPr>
          <w:p w14:paraId="0FD64F46" w14:textId="6D418707" w:rsidR="001247D2" w:rsidRDefault="001247D2" w:rsidP="001247D2">
            <w:r>
              <w:t>Kate Martin</w:t>
            </w:r>
          </w:p>
        </w:tc>
      </w:tr>
      <w:tr w:rsidR="001247D2" w14:paraId="15BF00B3" w14:textId="77777777" w:rsidTr="00916890">
        <w:tc>
          <w:tcPr>
            <w:tcW w:w="3120" w:type="dxa"/>
          </w:tcPr>
          <w:p w14:paraId="7B6FF72B" w14:textId="0F501FDE" w:rsidR="001247D2" w:rsidRDefault="001247D2" w:rsidP="001247D2">
            <w:r>
              <w:t>Sondra Barrington</w:t>
            </w:r>
          </w:p>
        </w:tc>
        <w:tc>
          <w:tcPr>
            <w:tcW w:w="3120" w:type="dxa"/>
          </w:tcPr>
          <w:p w14:paraId="116A18AC" w14:textId="77777777" w:rsidR="001247D2" w:rsidRDefault="001247D2" w:rsidP="001247D2">
            <w:r>
              <w:t>Alex Goolie</w:t>
            </w:r>
          </w:p>
        </w:tc>
        <w:tc>
          <w:tcPr>
            <w:tcW w:w="3120" w:type="dxa"/>
          </w:tcPr>
          <w:p w14:paraId="2E412F44" w14:textId="05CADF33" w:rsidR="001247D2" w:rsidRDefault="001247D2" w:rsidP="001247D2">
            <w:r>
              <w:t>Mohamed Moustafa</w:t>
            </w:r>
          </w:p>
        </w:tc>
      </w:tr>
      <w:tr w:rsidR="001247D2" w14:paraId="4D3A7530" w14:textId="77777777" w:rsidTr="00916890">
        <w:tc>
          <w:tcPr>
            <w:tcW w:w="3120" w:type="dxa"/>
          </w:tcPr>
          <w:p w14:paraId="5B8A80F5" w14:textId="2FF591A0" w:rsidR="001247D2" w:rsidRDefault="001247D2" w:rsidP="001247D2">
            <w:r>
              <w:t>Cami Eakins</w:t>
            </w:r>
          </w:p>
        </w:tc>
        <w:tc>
          <w:tcPr>
            <w:tcW w:w="3120" w:type="dxa"/>
          </w:tcPr>
          <w:p w14:paraId="6B821E1A" w14:textId="3916E297" w:rsidR="001247D2" w:rsidRDefault="001247D2" w:rsidP="001247D2">
            <w:r>
              <w:t>Kayci Loftus (Virtual)</w:t>
            </w:r>
          </w:p>
        </w:tc>
        <w:tc>
          <w:tcPr>
            <w:tcW w:w="3120" w:type="dxa"/>
          </w:tcPr>
          <w:p w14:paraId="79C9C93F" w14:textId="46F9F42B" w:rsidR="001247D2" w:rsidRDefault="001247D2" w:rsidP="001247D2">
            <w:r>
              <w:t>Tony Parks</w:t>
            </w:r>
          </w:p>
        </w:tc>
      </w:tr>
      <w:tr w:rsidR="001247D2" w14:paraId="5CB43040" w14:textId="77777777" w:rsidTr="00916890">
        <w:tc>
          <w:tcPr>
            <w:tcW w:w="3120" w:type="dxa"/>
          </w:tcPr>
          <w:p w14:paraId="56AEA3A7" w14:textId="2A0C2BB5" w:rsidR="001247D2" w:rsidRDefault="001247D2" w:rsidP="001247D2"/>
        </w:tc>
        <w:tc>
          <w:tcPr>
            <w:tcW w:w="3120" w:type="dxa"/>
          </w:tcPr>
          <w:p w14:paraId="04C9291E" w14:textId="3FB1099F" w:rsidR="001247D2" w:rsidRDefault="001247D2" w:rsidP="001247D2"/>
        </w:tc>
        <w:tc>
          <w:tcPr>
            <w:tcW w:w="3120" w:type="dxa"/>
          </w:tcPr>
          <w:p w14:paraId="343B2982" w14:textId="77777777" w:rsidR="001247D2" w:rsidRDefault="001247D2" w:rsidP="001247D2"/>
        </w:tc>
      </w:tr>
    </w:tbl>
    <w:p w14:paraId="07ABE0CB" w14:textId="77777777" w:rsidR="00541EF2" w:rsidRDefault="00541EF2"/>
    <w:p w14:paraId="33F1F975" w14:textId="77777777" w:rsidR="00916890" w:rsidRDefault="00916890"/>
    <w:p w14:paraId="2B320DB4" w14:textId="77777777" w:rsidR="00916890" w:rsidRDefault="00916890"/>
    <w:tbl>
      <w:tblPr>
        <w:tblW w:w="9360" w:type="dxa"/>
        <w:tblCellMar>
          <w:left w:w="10" w:type="dxa"/>
          <w:right w:w="10" w:type="dxa"/>
        </w:tblCellMar>
        <w:tblLook w:val="04A0" w:firstRow="1" w:lastRow="0" w:firstColumn="1" w:lastColumn="0" w:noHBand="0" w:noVBand="1"/>
      </w:tblPr>
      <w:tblGrid>
        <w:gridCol w:w="3120"/>
        <w:gridCol w:w="3120"/>
        <w:gridCol w:w="3120"/>
      </w:tblGrid>
      <w:tr w:rsidR="00541EF2" w14:paraId="6B059B5E" w14:textId="77777777" w:rsidTr="00916890">
        <w:tc>
          <w:tcPr>
            <w:tcW w:w="9360" w:type="dxa"/>
            <w:gridSpan w:val="3"/>
          </w:tcPr>
          <w:p w14:paraId="67DB818B" w14:textId="77777777" w:rsidR="00541EF2" w:rsidRDefault="00516F38">
            <w:r>
              <w:rPr>
                <w:b/>
                <w:bCs/>
              </w:rPr>
              <w:t>STAFF PRESENT:</w:t>
            </w:r>
          </w:p>
        </w:tc>
      </w:tr>
      <w:tr w:rsidR="00541EF2" w14:paraId="6B1EB2DF" w14:textId="77777777" w:rsidTr="00916890">
        <w:tc>
          <w:tcPr>
            <w:tcW w:w="3120" w:type="dxa"/>
          </w:tcPr>
          <w:p w14:paraId="5126583D" w14:textId="77777777" w:rsidR="00541EF2" w:rsidRDefault="00516F38">
            <w:r>
              <w:t>Mustafa Baigzad</w:t>
            </w:r>
          </w:p>
        </w:tc>
        <w:tc>
          <w:tcPr>
            <w:tcW w:w="3120" w:type="dxa"/>
          </w:tcPr>
          <w:p w14:paraId="4713F600" w14:textId="016C3931" w:rsidR="00541EF2" w:rsidRDefault="00916890">
            <w:r>
              <w:t>Jeanette Facer</w:t>
            </w:r>
          </w:p>
        </w:tc>
        <w:tc>
          <w:tcPr>
            <w:tcW w:w="3120" w:type="dxa"/>
          </w:tcPr>
          <w:p w14:paraId="63D12FAC" w14:textId="52CDA76E" w:rsidR="00541EF2" w:rsidRDefault="00916890">
            <w:r>
              <w:t>Maliek Martin</w:t>
            </w:r>
          </w:p>
        </w:tc>
      </w:tr>
      <w:tr w:rsidR="00916890" w14:paraId="22A60E66" w14:textId="77777777" w:rsidTr="00916890">
        <w:tc>
          <w:tcPr>
            <w:tcW w:w="3120" w:type="dxa"/>
          </w:tcPr>
          <w:p w14:paraId="13C1099A" w14:textId="77777777" w:rsidR="00916890" w:rsidRDefault="00916890" w:rsidP="00916890">
            <w:r>
              <w:t>Jessica Clayton</w:t>
            </w:r>
          </w:p>
        </w:tc>
        <w:tc>
          <w:tcPr>
            <w:tcW w:w="3120" w:type="dxa"/>
          </w:tcPr>
          <w:p w14:paraId="6F9A24B2" w14:textId="402B0FB8" w:rsidR="00916890" w:rsidRDefault="00916890" w:rsidP="00916890">
            <w:r>
              <w:t>Kimbrelle Floyd</w:t>
            </w:r>
          </w:p>
        </w:tc>
        <w:tc>
          <w:tcPr>
            <w:tcW w:w="3120" w:type="dxa"/>
          </w:tcPr>
          <w:p w14:paraId="077EB302" w14:textId="04981092" w:rsidR="00916890" w:rsidRDefault="00916890" w:rsidP="00916890">
            <w:r>
              <w:t>Tim Robison</w:t>
            </w:r>
          </w:p>
        </w:tc>
      </w:tr>
      <w:tr w:rsidR="00916890" w14:paraId="1396DF94" w14:textId="77777777" w:rsidTr="00916890">
        <w:tc>
          <w:tcPr>
            <w:tcW w:w="3120" w:type="dxa"/>
          </w:tcPr>
          <w:p w14:paraId="57831B25" w14:textId="77777777" w:rsidR="00916890" w:rsidRDefault="00916890" w:rsidP="00916890">
            <w:r>
              <w:t>Bianka DeSure</w:t>
            </w:r>
          </w:p>
        </w:tc>
        <w:tc>
          <w:tcPr>
            <w:tcW w:w="3120" w:type="dxa"/>
          </w:tcPr>
          <w:p w14:paraId="5BB54E34" w14:textId="4F192445" w:rsidR="00916890" w:rsidRDefault="00916890" w:rsidP="00916890">
            <w:r>
              <w:t>And</w:t>
            </w:r>
            <w:r w:rsidR="006A1FE2">
              <w:t>rea</w:t>
            </w:r>
            <w:r>
              <w:t xml:space="preserve"> Hixson</w:t>
            </w:r>
          </w:p>
        </w:tc>
        <w:tc>
          <w:tcPr>
            <w:tcW w:w="3120" w:type="dxa"/>
          </w:tcPr>
          <w:p w14:paraId="55861315" w14:textId="58C05754" w:rsidR="00916890" w:rsidRDefault="00916890" w:rsidP="00916890">
            <w:r>
              <w:t>Kevin Williams</w:t>
            </w:r>
          </w:p>
        </w:tc>
      </w:tr>
      <w:tr w:rsidR="00916890" w14:paraId="3E7358B8" w14:textId="77777777" w:rsidTr="00916890">
        <w:tc>
          <w:tcPr>
            <w:tcW w:w="3120" w:type="dxa"/>
          </w:tcPr>
          <w:p w14:paraId="6FBF47E4" w14:textId="77777777" w:rsidR="00916890" w:rsidRDefault="00916890" w:rsidP="00916890"/>
          <w:p w14:paraId="1E0BE72A" w14:textId="7D961338" w:rsidR="00916890" w:rsidRDefault="00916890" w:rsidP="00916890"/>
        </w:tc>
        <w:tc>
          <w:tcPr>
            <w:tcW w:w="3120" w:type="dxa"/>
          </w:tcPr>
          <w:p w14:paraId="49B00B27" w14:textId="12A15885" w:rsidR="00916890" w:rsidRDefault="00916890" w:rsidP="00916890"/>
        </w:tc>
        <w:tc>
          <w:tcPr>
            <w:tcW w:w="3120" w:type="dxa"/>
          </w:tcPr>
          <w:p w14:paraId="01A8A94B" w14:textId="77777777" w:rsidR="00916890" w:rsidRDefault="00916890" w:rsidP="00916890"/>
        </w:tc>
      </w:tr>
    </w:tbl>
    <w:p w14:paraId="6A1F66B4" w14:textId="77777777" w:rsidR="00541EF2" w:rsidRDefault="00541EF2"/>
    <w:p w14:paraId="184DC089" w14:textId="77777777" w:rsidR="00916890" w:rsidRDefault="009F30FA" w:rsidP="00916890">
      <w:r>
        <w:rPr>
          <w:i/>
          <w:iCs/>
        </w:rPr>
        <w:t xml:space="preserve">Vice </w:t>
      </w:r>
      <w:r w:rsidR="00516F38">
        <w:rPr>
          <w:i/>
          <w:iCs/>
        </w:rPr>
        <w:t>Chair Patti Borchardt called the meeting to order at 7:30 a.m. with a quorum of members present in person and via Teams.</w:t>
      </w:r>
    </w:p>
    <w:p w14:paraId="60D1A9C3" w14:textId="5D72CDCB" w:rsidR="00541EF2" w:rsidRPr="009F30FA" w:rsidRDefault="00516F38" w:rsidP="00916890">
      <w:r w:rsidRPr="009F30FA">
        <w:rPr>
          <w:b/>
          <w:bCs/>
          <w:u w:val="single"/>
        </w:rPr>
        <w:lastRenderedPageBreak/>
        <w:t>MEETING THE MISSION</w:t>
      </w:r>
    </w:p>
    <w:p w14:paraId="666A908E" w14:textId="77777777" w:rsidR="00541EF2" w:rsidRDefault="00516F38">
      <w:r>
        <w:rPr>
          <w:i/>
          <w:iCs/>
        </w:rPr>
        <w:t>Kimbrelle Floyd, Program Coordinator</w:t>
      </w:r>
    </w:p>
    <w:p w14:paraId="21388BF4" w14:textId="77777777" w:rsidR="00541EF2" w:rsidRDefault="00516F38">
      <w:r>
        <w:rPr>
          <w:i/>
          <w:iCs/>
        </w:rPr>
        <w:t>Diana Wilhite, Board Member/President, Wilhite Enterprises</w:t>
      </w:r>
    </w:p>
    <w:p w14:paraId="115DC67E" w14:textId="77777777" w:rsidR="00541EF2" w:rsidRDefault="00541EF2"/>
    <w:p w14:paraId="559481C0" w14:textId="1F1F9E22" w:rsidR="00541EF2" w:rsidRDefault="00516F38">
      <w:pPr>
        <w:spacing w:after="120"/>
      </w:pPr>
      <w:r>
        <w:t xml:space="preserve">Kim Floyd and Diana Wilhite reported on staff and board advocacy at the January legislative hill climb </w:t>
      </w:r>
      <w:r w:rsidR="009F30FA">
        <w:t xml:space="preserve">for the Washington Workforce Association (WWA) </w:t>
      </w:r>
      <w:r>
        <w:t>in Olympia, focused on preserving Economic Security for All (E</w:t>
      </w:r>
      <w:r w:rsidR="009F30FA">
        <w:t>cS</w:t>
      </w:r>
      <w:r>
        <w:t xml:space="preserve">A) and Community Reinvestment Project (CRP) funding in the governor’s budget. </w:t>
      </w:r>
      <w:r w:rsidR="009F30FA">
        <w:t>They shared participant stories and data with the legislators and their staff, and responses</w:t>
      </w:r>
      <w:r>
        <w:t xml:space="preserve"> from legislators and the Governor’s office were broadly positive; existing budgeted funds are expected to remain intact.</w:t>
      </w:r>
    </w:p>
    <w:p w14:paraId="3D428282" w14:textId="77777777" w:rsidR="00541EF2" w:rsidRDefault="00541EF2"/>
    <w:p w14:paraId="3B959450" w14:textId="28EE4189" w:rsidR="00541EF2" w:rsidRPr="009F30FA" w:rsidRDefault="00516F38">
      <w:pPr>
        <w:spacing w:before="160" w:after="80"/>
      </w:pPr>
      <w:r w:rsidRPr="009F30FA">
        <w:rPr>
          <w:b/>
          <w:bCs/>
          <w:u w:val="single"/>
        </w:rPr>
        <w:t xml:space="preserve">ITEM #1 </w:t>
      </w:r>
      <w:r w:rsidR="00D94D3E">
        <w:rPr>
          <w:b/>
          <w:bCs/>
          <w:u w:val="single"/>
        </w:rPr>
        <w:t xml:space="preserve">- </w:t>
      </w:r>
      <w:r w:rsidRPr="009F30FA">
        <w:rPr>
          <w:b/>
          <w:bCs/>
          <w:u w:val="single"/>
        </w:rPr>
        <w:t>Review of December 10th Meeting Minutes</w:t>
      </w:r>
    </w:p>
    <w:p w14:paraId="746787CB" w14:textId="5AF216D7" w:rsidR="00541EF2" w:rsidRDefault="00516F38">
      <w:r>
        <w:rPr>
          <w:i/>
          <w:iCs/>
        </w:rPr>
        <w:t xml:space="preserve">Patti Borchardt, Board </w:t>
      </w:r>
      <w:r w:rsidR="009F30FA">
        <w:rPr>
          <w:i/>
          <w:iCs/>
        </w:rPr>
        <w:t xml:space="preserve">Vice </w:t>
      </w:r>
      <w:r>
        <w:rPr>
          <w:i/>
          <w:iCs/>
        </w:rPr>
        <w:t>Chair</w:t>
      </w:r>
    </w:p>
    <w:p w14:paraId="42D16291" w14:textId="77777777" w:rsidR="00541EF2" w:rsidRDefault="00541EF2"/>
    <w:p w14:paraId="75BF3D33" w14:textId="77777777" w:rsidR="00541EF2" w:rsidRDefault="00516F38">
      <w:pPr>
        <w:spacing w:after="120"/>
      </w:pPr>
      <w:r>
        <w:t>A review was done of the meeting minutes from the December 10, 2025, board meeting.</w:t>
      </w:r>
    </w:p>
    <w:p w14:paraId="449BB647" w14:textId="5A0E0428" w:rsidR="00541EF2" w:rsidRPr="009F30FA" w:rsidRDefault="00516F38">
      <w:pPr>
        <w:ind w:left="720"/>
        <w:rPr>
          <w:sz w:val="20"/>
          <w:szCs w:val="20"/>
        </w:rPr>
      </w:pPr>
      <w:r w:rsidRPr="009F30FA">
        <w:rPr>
          <w:b/>
          <w:bCs/>
          <w:i/>
          <w:iCs/>
          <w:sz w:val="20"/>
          <w:szCs w:val="20"/>
        </w:rPr>
        <w:t xml:space="preserve">ACTION: Motion and second to approve the December 10, 2025, meeting minutes. Approved </w:t>
      </w:r>
      <w:r w:rsidR="009F30FA" w:rsidRPr="009F30FA">
        <w:rPr>
          <w:b/>
          <w:bCs/>
          <w:i/>
          <w:iCs/>
          <w:sz w:val="20"/>
          <w:szCs w:val="20"/>
        </w:rPr>
        <w:t>unanimously.</w:t>
      </w:r>
    </w:p>
    <w:p w14:paraId="24AC993C" w14:textId="77777777" w:rsidR="00541EF2" w:rsidRDefault="00541EF2"/>
    <w:p w14:paraId="0C7F6BAA" w14:textId="1BBEA1E8" w:rsidR="00541EF2" w:rsidRPr="009F30FA" w:rsidRDefault="00516F38">
      <w:pPr>
        <w:spacing w:before="160" w:after="80"/>
      </w:pPr>
      <w:r w:rsidRPr="009F30FA">
        <w:rPr>
          <w:b/>
          <w:bCs/>
          <w:u w:val="single"/>
        </w:rPr>
        <w:t xml:space="preserve">ITEM #2 </w:t>
      </w:r>
      <w:r w:rsidR="00D94D3E">
        <w:rPr>
          <w:b/>
          <w:bCs/>
          <w:u w:val="single"/>
        </w:rPr>
        <w:t xml:space="preserve"> - </w:t>
      </w:r>
      <w:r w:rsidRPr="009F30FA">
        <w:rPr>
          <w:b/>
          <w:bCs/>
          <w:u w:val="single"/>
        </w:rPr>
        <w:t>Mid-Year Program Performance Report</w:t>
      </w:r>
    </w:p>
    <w:p w14:paraId="0F521C92" w14:textId="0610C73F" w:rsidR="00541EF2" w:rsidRDefault="00516F38">
      <w:r>
        <w:rPr>
          <w:i/>
          <w:iCs/>
        </w:rPr>
        <w:t>And</w:t>
      </w:r>
      <w:r w:rsidR="006A1FE2">
        <w:rPr>
          <w:i/>
          <w:iCs/>
        </w:rPr>
        <w:t>rea</w:t>
      </w:r>
      <w:r>
        <w:rPr>
          <w:i/>
          <w:iCs/>
        </w:rPr>
        <w:t xml:space="preserve"> Hixson, Program &amp; Operations Associate Director</w:t>
      </w:r>
    </w:p>
    <w:p w14:paraId="5C1ECF46" w14:textId="77777777" w:rsidR="00541EF2" w:rsidRDefault="00541EF2"/>
    <w:p w14:paraId="2502A026" w14:textId="35EB1214" w:rsidR="00541EF2" w:rsidRDefault="00516F38">
      <w:pPr>
        <w:spacing w:after="120"/>
      </w:pPr>
      <w:r>
        <w:t>And</w:t>
      </w:r>
      <w:r w:rsidR="006A1FE2">
        <w:t>rea</w:t>
      </w:r>
      <w:r>
        <w:t xml:space="preserve"> Hixson presented a mid-year performance overview for Program Year 2025 (July–December 2025). Key highlights included:</w:t>
      </w:r>
    </w:p>
    <w:p w14:paraId="70C6A4F9" w14:textId="5B013203" w:rsidR="00541EF2" w:rsidRDefault="00516F38">
      <w:pPr>
        <w:pStyle w:val="ListParagraph"/>
        <w:numPr>
          <w:ilvl w:val="0"/>
          <w:numId w:val="2"/>
        </w:numPr>
        <w:spacing w:after="80"/>
      </w:pPr>
      <w:r>
        <w:t xml:space="preserve">Campus-wide services reached approximately 3,400 individuals, including 350 veterans and 650 served by </w:t>
      </w:r>
      <w:r w:rsidR="00C75258">
        <w:t>SWC-</w:t>
      </w:r>
      <w:r>
        <w:t xml:space="preserve">funded programs. </w:t>
      </w:r>
    </w:p>
    <w:p w14:paraId="0FB3D620" w14:textId="64EEE3CE" w:rsidR="00541EF2" w:rsidRDefault="00516F38">
      <w:pPr>
        <w:pStyle w:val="ListParagraph"/>
        <w:numPr>
          <w:ilvl w:val="0"/>
          <w:numId w:val="2"/>
        </w:numPr>
        <w:spacing w:after="80"/>
      </w:pPr>
      <w:r>
        <w:t xml:space="preserve">Talent Solutions served 400+ employers and 1,400+ services. High-attendance employer events </w:t>
      </w:r>
      <w:r w:rsidR="006A1FE2">
        <w:t>have</w:t>
      </w:r>
      <w:r w:rsidR="00C75258">
        <w:t xml:space="preserve"> </w:t>
      </w:r>
      <w:r>
        <w:t>prompted a search for larger venues. Technology pilots include an LMS with 15 employer users and the ECHO chatbot on the Workforce website.</w:t>
      </w:r>
    </w:p>
    <w:p w14:paraId="01115D76" w14:textId="04DA72FD" w:rsidR="00541EF2" w:rsidRPr="006A1FE2" w:rsidRDefault="00516F38">
      <w:pPr>
        <w:pStyle w:val="ListParagraph"/>
        <w:numPr>
          <w:ilvl w:val="0"/>
          <w:numId w:val="2"/>
        </w:numPr>
        <w:spacing w:after="80"/>
      </w:pPr>
      <w:r w:rsidRPr="006A1FE2">
        <w:t xml:space="preserve">Training: 289 participants </w:t>
      </w:r>
      <w:r w:rsidR="006A1FE2" w:rsidRPr="006A1FE2">
        <w:t>supported through training services with $54,000 invested in PY25.</w:t>
      </w:r>
    </w:p>
    <w:p w14:paraId="123B21C1" w14:textId="77777777" w:rsidR="00541EF2" w:rsidRDefault="00541EF2"/>
    <w:p w14:paraId="018AB133" w14:textId="6CC802DC" w:rsidR="00541EF2" w:rsidRPr="009F30FA" w:rsidRDefault="00516F38">
      <w:pPr>
        <w:spacing w:before="160" w:after="80"/>
      </w:pPr>
      <w:r w:rsidRPr="009F30FA">
        <w:rPr>
          <w:b/>
          <w:bCs/>
          <w:u w:val="single"/>
        </w:rPr>
        <w:t xml:space="preserve">ITEM #3 </w:t>
      </w:r>
      <w:r w:rsidR="00D94D3E">
        <w:rPr>
          <w:b/>
          <w:bCs/>
          <w:u w:val="single"/>
        </w:rPr>
        <w:t xml:space="preserve"> - </w:t>
      </w:r>
      <w:r w:rsidRPr="009F30FA">
        <w:rPr>
          <w:b/>
          <w:bCs/>
          <w:u w:val="single"/>
        </w:rPr>
        <w:t>Mid-Year Financial Update</w:t>
      </w:r>
    </w:p>
    <w:p w14:paraId="40BCA677" w14:textId="77777777" w:rsidR="00541EF2" w:rsidRDefault="00516F38">
      <w:r>
        <w:rPr>
          <w:i/>
          <w:iCs/>
        </w:rPr>
        <w:t>Jeanette Facer, Interim CEO/Division Executive Finance</w:t>
      </w:r>
    </w:p>
    <w:p w14:paraId="204AF684" w14:textId="77777777" w:rsidR="00541EF2" w:rsidRDefault="00541EF2"/>
    <w:p w14:paraId="76DFF406" w14:textId="04D94F62" w:rsidR="00541EF2" w:rsidRDefault="00516F38">
      <w:pPr>
        <w:spacing w:after="120"/>
      </w:pPr>
      <w:r>
        <w:t xml:space="preserve">Jeanette Facer presented a mid-year budget versus actuals update. The current operating budget is approximately $6.8 million; total funds under management are approximately $9.5 million (WIOA 45%, federal other 34%, state 18%, local/private 3%). An additional $55,000 in dislocated worker funds received in January was directed to subcontractors and participant services. Preliminary PY26 allocations project modest increases in </w:t>
      </w:r>
      <w:r w:rsidR="00C209DE">
        <w:t>WIOA Y</w:t>
      </w:r>
      <w:r>
        <w:t xml:space="preserve">outh and </w:t>
      </w:r>
      <w:r w:rsidR="00C209DE">
        <w:t>A</w:t>
      </w:r>
      <w:r>
        <w:t>dult funding</w:t>
      </w:r>
      <w:r w:rsidR="00C209DE">
        <w:t>,</w:t>
      </w:r>
      <w:r>
        <w:t xml:space="preserve"> and a decrease in </w:t>
      </w:r>
      <w:r w:rsidR="00C209DE">
        <w:t xml:space="preserve">Dislocated </w:t>
      </w:r>
      <w:r>
        <w:t>W</w:t>
      </w:r>
      <w:r w:rsidR="00C209DE">
        <w:t>orker</w:t>
      </w:r>
      <w:r>
        <w:t xml:space="preserve"> funding, pending final adjustments.</w:t>
      </w:r>
    </w:p>
    <w:p w14:paraId="5C420C8B" w14:textId="29B54A1E" w:rsidR="00293C06" w:rsidRPr="00293C06" w:rsidRDefault="00293C06" w:rsidP="00293C06">
      <w:pPr>
        <w:pStyle w:val="NormalWeb"/>
        <w:rPr>
          <w:rFonts w:ascii="Calibri" w:hAnsi="Calibri" w:cs="Calibri"/>
          <w:sz w:val="22"/>
          <w:szCs w:val="22"/>
        </w:rPr>
      </w:pPr>
      <w:r>
        <w:rPr>
          <w:rFonts w:ascii="Calibri" w:hAnsi="Calibri" w:cs="Calibri"/>
          <w:sz w:val="22"/>
          <w:szCs w:val="22"/>
        </w:rPr>
        <w:t xml:space="preserve">Jeanette Facer presented to the </w:t>
      </w:r>
      <w:r w:rsidRPr="00293C06">
        <w:rPr>
          <w:rFonts w:ascii="Calibri" w:hAnsi="Calibri" w:cs="Calibri"/>
          <w:sz w:val="22"/>
          <w:szCs w:val="22"/>
        </w:rPr>
        <w:t xml:space="preserve">Board of Directors </w:t>
      </w:r>
      <w:r>
        <w:rPr>
          <w:rFonts w:ascii="Calibri" w:hAnsi="Calibri" w:cs="Calibri"/>
          <w:sz w:val="22"/>
          <w:szCs w:val="22"/>
        </w:rPr>
        <w:t xml:space="preserve">the results of </w:t>
      </w:r>
      <w:r w:rsidRPr="00293C06">
        <w:rPr>
          <w:rFonts w:ascii="Calibri" w:hAnsi="Calibri" w:cs="Calibri"/>
          <w:sz w:val="22"/>
          <w:szCs w:val="22"/>
        </w:rPr>
        <w:t xml:space="preserve">the </w:t>
      </w:r>
      <w:r w:rsidRPr="00293C06">
        <w:rPr>
          <w:rStyle w:val="Strong"/>
          <w:rFonts w:ascii="Calibri" w:hAnsi="Calibri" w:cs="Calibri"/>
          <w:b w:val="0"/>
          <w:bCs w:val="0"/>
          <w:sz w:val="22"/>
          <w:szCs w:val="22"/>
        </w:rPr>
        <w:t>Washington State Auditor’s Accountability Audit Report</w:t>
      </w:r>
      <w:r w:rsidRPr="00293C06">
        <w:rPr>
          <w:rFonts w:ascii="Calibri" w:hAnsi="Calibri" w:cs="Calibri"/>
          <w:sz w:val="22"/>
          <w:szCs w:val="22"/>
        </w:rPr>
        <w:t xml:space="preserve"> for the Spokane Area Workforce Development Council covering the period </w:t>
      </w:r>
      <w:r w:rsidRPr="00293C06">
        <w:rPr>
          <w:rStyle w:val="Strong"/>
          <w:rFonts w:ascii="Calibri" w:hAnsi="Calibri" w:cs="Calibri"/>
          <w:b w:val="0"/>
          <w:bCs w:val="0"/>
          <w:sz w:val="22"/>
          <w:szCs w:val="22"/>
        </w:rPr>
        <w:t>July 1, 2021 through June 30, 2024</w:t>
      </w:r>
      <w:r w:rsidRPr="00293C06">
        <w:rPr>
          <w:rFonts w:ascii="Calibri" w:hAnsi="Calibri" w:cs="Calibri"/>
          <w:b/>
          <w:bCs/>
          <w:sz w:val="22"/>
          <w:szCs w:val="22"/>
        </w:rPr>
        <w:t>,</w:t>
      </w:r>
      <w:r w:rsidRPr="00293C06">
        <w:rPr>
          <w:rFonts w:ascii="Calibri" w:hAnsi="Calibri" w:cs="Calibri"/>
          <w:sz w:val="22"/>
          <w:szCs w:val="22"/>
        </w:rPr>
        <w:t xml:space="preserve"> issued February 12, 2026. The audit examined the Council’s compliance with applicable state laws, regulations, internal policies, and the adequacy of controls over safeguarding public resources. Overall, the auditor reported that in most areas reviewed the Council complied with applicable requirements and maintained adequate controls.</w:t>
      </w:r>
    </w:p>
    <w:p w14:paraId="6CE81B31" w14:textId="77777777" w:rsidR="00293C06" w:rsidRPr="00293C06" w:rsidRDefault="00293C06" w:rsidP="00293C06">
      <w:pPr>
        <w:pStyle w:val="NormalWeb"/>
        <w:rPr>
          <w:rFonts w:ascii="Calibri" w:hAnsi="Calibri" w:cs="Calibri"/>
          <w:sz w:val="22"/>
          <w:szCs w:val="22"/>
        </w:rPr>
      </w:pPr>
      <w:r w:rsidRPr="00293C06">
        <w:rPr>
          <w:rFonts w:ascii="Calibri" w:hAnsi="Calibri" w:cs="Calibri"/>
          <w:sz w:val="22"/>
          <w:szCs w:val="22"/>
        </w:rPr>
        <w:lastRenderedPageBreak/>
        <w:t>The audit included review of payroll practices, accounts payable and credit card use, authority for contracted services, selected IT security controls, treasury activities and bank reconciliations, financial condition monitoring, and compliance with Open Public Meetings Act requirements.</w:t>
      </w:r>
    </w:p>
    <w:p w14:paraId="1F6819D1" w14:textId="77777777" w:rsidR="00293C06" w:rsidRPr="00293C06" w:rsidRDefault="00293C06" w:rsidP="00293C06">
      <w:pPr>
        <w:pStyle w:val="NormalWeb"/>
        <w:rPr>
          <w:rFonts w:ascii="Calibri" w:hAnsi="Calibri" w:cs="Calibri"/>
          <w:sz w:val="22"/>
          <w:szCs w:val="22"/>
        </w:rPr>
      </w:pPr>
      <w:r w:rsidRPr="00293C06">
        <w:rPr>
          <w:rFonts w:ascii="Calibri" w:hAnsi="Calibri" w:cs="Calibri"/>
          <w:sz w:val="22"/>
          <w:szCs w:val="22"/>
        </w:rPr>
        <w:t>The report included one finding stating that the Council provided certain workforce development consulting services outside of its statutory service area and used revenue generated from those services for expenses determined to be unallowable under state law governing public funds. Examples cited included commission bonuses based on formula of consulting services and holiday event expenses that did not meet constitutional requirements related to extra compensation and use of public funds.</w:t>
      </w:r>
    </w:p>
    <w:p w14:paraId="77B339DE" w14:textId="77777777" w:rsidR="00293C06" w:rsidRPr="00293C06" w:rsidRDefault="00293C06" w:rsidP="00293C06">
      <w:pPr>
        <w:pStyle w:val="NormalWeb"/>
        <w:rPr>
          <w:rFonts w:ascii="Calibri" w:hAnsi="Calibri" w:cs="Calibri"/>
          <w:sz w:val="22"/>
          <w:szCs w:val="22"/>
        </w:rPr>
      </w:pPr>
      <w:r w:rsidRPr="00293C06">
        <w:rPr>
          <w:rFonts w:ascii="Calibri" w:hAnsi="Calibri" w:cs="Calibri"/>
          <w:sz w:val="22"/>
          <w:szCs w:val="22"/>
        </w:rPr>
        <w:t>Management acknowledged the finding and clarified that the Council previously believed certain revenues could be treated as unrestricted under nonprofit accounting practices. Management confirmed that the Council now recognizes all revenues must be treated as public funds subject to applicable governmental restrictions.</w:t>
      </w:r>
    </w:p>
    <w:p w14:paraId="31BFFCC6" w14:textId="77777777" w:rsidR="00293C06" w:rsidRPr="00293C06" w:rsidRDefault="00293C06" w:rsidP="00293C06">
      <w:pPr>
        <w:pStyle w:val="NormalWeb"/>
        <w:rPr>
          <w:rFonts w:ascii="Calibri" w:hAnsi="Calibri" w:cs="Calibri"/>
          <w:sz w:val="22"/>
          <w:szCs w:val="22"/>
        </w:rPr>
      </w:pPr>
      <w:r w:rsidRPr="00293C06">
        <w:rPr>
          <w:rFonts w:ascii="Calibri" w:hAnsi="Calibri" w:cs="Calibri"/>
          <w:sz w:val="22"/>
          <w:szCs w:val="22"/>
        </w:rPr>
        <w:t>Management reported that corrective actions are being implemented, including establishing review procedures to ensure activities remain within statutory authority, requiring legal review for contracts that may extend outside the Council’s jurisdiction, revising procedures for revenue classification and compliance, updating policies related to bonuses and incentive compensation to ensure compliance with state requirements, and strengthening controls over meal, event, and related expenditures.</w:t>
      </w:r>
    </w:p>
    <w:p w14:paraId="2D510CFA" w14:textId="77777777" w:rsidR="00293C06" w:rsidRPr="00293C06" w:rsidRDefault="00293C06" w:rsidP="00293C06">
      <w:pPr>
        <w:pStyle w:val="NormalWeb"/>
        <w:rPr>
          <w:rFonts w:ascii="Calibri" w:hAnsi="Calibri" w:cs="Calibri"/>
          <w:sz w:val="22"/>
          <w:szCs w:val="22"/>
        </w:rPr>
      </w:pPr>
      <w:r w:rsidRPr="00293C06">
        <w:rPr>
          <w:rFonts w:ascii="Calibri" w:hAnsi="Calibri" w:cs="Calibri"/>
          <w:sz w:val="22"/>
          <w:szCs w:val="22"/>
        </w:rPr>
        <w:t>The Board discussed the report and management’s corrective actions and acknowledged receipt of the audit.</w:t>
      </w:r>
    </w:p>
    <w:p w14:paraId="50CF6E14" w14:textId="5C213DED" w:rsidR="00541EF2" w:rsidRPr="009F30FA" w:rsidRDefault="00516F38">
      <w:pPr>
        <w:spacing w:before="160" w:after="80"/>
      </w:pPr>
      <w:r w:rsidRPr="009F30FA">
        <w:rPr>
          <w:b/>
          <w:bCs/>
          <w:u w:val="single"/>
        </w:rPr>
        <w:t xml:space="preserve">ITEM #4 </w:t>
      </w:r>
      <w:r w:rsidR="00D94D3E">
        <w:rPr>
          <w:b/>
          <w:bCs/>
          <w:u w:val="single"/>
        </w:rPr>
        <w:t>-</w:t>
      </w:r>
      <w:r w:rsidRPr="009F30FA">
        <w:rPr>
          <w:b/>
          <w:bCs/>
          <w:u w:val="single"/>
        </w:rPr>
        <w:t xml:space="preserve"> Board Engagement Activity</w:t>
      </w:r>
    </w:p>
    <w:p w14:paraId="40BECD02" w14:textId="77777777" w:rsidR="00541EF2" w:rsidRDefault="00516F38">
      <w:r>
        <w:rPr>
          <w:i/>
          <w:iCs/>
        </w:rPr>
        <w:t>Kevin Williams, Division Executive, Systems Advancement</w:t>
      </w:r>
    </w:p>
    <w:p w14:paraId="72CB9419" w14:textId="77777777" w:rsidR="00541EF2" w:rsidRDefault="00541EF2"/>
    <w:p w14:paraId="108A9D84" w14:textId="36F79207" w:rsidR="00541EF2" w:rsidRPr="009F30FA" w:rsidRDefault="00516F38" w:rsidP="00D94D3E">
      <w:pPr>
        <w:spacing w:after="120"/>
        <w:rPr>
          <w:highlight w:val="yellow"/>
        </w:rPr>
      </w:pPr>
      <w:r>
        <w:t xml:space="preserve">Kevin Williams led a Jeopardy-style activity covering WIOA requirements, American Job Center partners, certified sites, </w:t>
      </w:r>
      <w:r w:rsidR="00D94D3E">
        <w:t xml:space="preserve">key regional industries, </w:t>
      </w:r>
      <w:r>
        <w:t xml:space="preserve">and Washington’s 12 local workforce development boards. </w:t>
      </w:r>
    </w:p>
    <w:p w14:paraId="30C97DC3" w14:textId="77777777" w:rsidR="00541EF2" w:rsidRDefault="00541EF2"/>
    <w:p w14:paraId="3CEA78A5" w14:textId="1AD38AA4" w:rsidR="00541EF2" w:rsidRPr="009F30FA" w:rsidRDefault="00516F38">
      <w:pPr>
        <w:spacing w:before="160" w:after="80"/>
      </w:pPr>
      <w:r w:rsidRPr="009F30FA">
        <w:rPr>
          <w:b/>
          <w:bCs/>
          <w:u w:val="single"/>
        </w:rPr>
        <w:t xml:space="preserve">ITEM #5 </w:t>
      </w:r>
      <w:r w:rsidR="00D94D3E">
        <w:rPr>
          <w:b/>
          <w:bCs/>
          <w:u w:val="single"/>
        </w:rPr>
        <w:t xml:space="preserve"> - </w:t>
      </w:r>
      <w:r w:rsidRPr="009F30FA">
        <w:rPr>
          <w:b/>
          <w:bCs/>
          <w:u w:val="single"/>
        </w:rPr>
        <w:t>Career Expo 2026</w:t>
      </w:r>
    </w:p>
    <w:p w14:paraId="0A232920" w14:textId="77777777" w:rsidR="00541EF2" w:rsidRDefault="00516F38">
      <w:r>
        <w:rPr>
          <w:i/>
          <w:iCs/>
        </w:rPr>
        <w:t>Kevin Williams, Division Executive, Systems Advancement</w:t>
      </w:r>
    </w:p>
    <w:p w14:paraId="01ED5DE3" w14:textId="77777777" w:rsidR="00541EF2" w:rsidRDefault="00541EF2"/>
    <w:p w14:paraId="0A3775DB" w14:textId="5FA24E71" w:rsidR="00541EF2" w:rsidRDefault="00516F38">
      <w:pPr>
        <w:spacing w:after="120"/>
      </w:pPr>
      <w:r>
        <w:t xml:space="preserve">Kevin Williams provided an update on the </w:t>
      </w:r>
      <w:r w:rsidR="00D94D3E">
        <w:t xml:space="preserve">Spokane County </w:t>
      </w:r>
      <w:r>
        <w:t xml:space="preserve">Career Expo 2026 (formerly the </w:t>
      </w:r>
      <w:r w:rsidR="00D94D3E">
        <w:t xml:space="preserve">Nonstop Local-KHQ WorkSource </w:t>
      </w:r>
      <w:r>
        <w:t>Job Fair), scheduled for Tuesday, April 14</w:t>
      </w:r>
      <w:r w:rsidR="009F30FA" w:rsidRPr="009F30FA">
        <w:rPr>
          <w:vertAlign w:val="superscript"/>
        </w:rPr>
        <w:t>th</w:t>
      </w:r>
      <w:r w:rsidR="009F30FA">
        <w:t>, 2026</w:t>
      </w:r>
      <w:r>
        <w:t xml:space="preserve"> at the Spokane County Fairgrounds</w:t>
      </w:r>
      <w:r w:rsidR="00D94D3E">
        <w:t xml:space="preserve"> from </w:t>
      </w:r>
      <w:r>
        <w:t>11:00 a.m.</w:t>
      </w:r>
      <w:r w:rsidR="00D94D3E">
        <w:t xml:space="preserve"> to </w:t>
      </w:r>
      <w:r>
        <w:t>3:00 p.m.</w:t>
      </w:r>
      <w:r w:rsidR="00D94D3E">
        <w:t xml:space="preserve"> with an </w:t>
      </w:r>
      <w:r>
        <w:t>expec</w:t>
      </w:r>
      <w:r w:rsidR="00D94D3E">
        <w:t>ted</w:t>
      </w:r>
      <w:r>
        <w:t xml:space="preserve"> 1,000+ job seekers and 150+ employers</w:t>
      </w:r>
      <w:r w:rsidR="00D94D3E">
        <w:t>, resource providers, and training providers</w:t>
      </w:r>
      <w:r>
        <w:t>. Board members were encouraged to promote the event, recruit employers, and consider sponsorship opportunities.</w:t>
      </w:r>
    </w:p>
    <w:p w14:paraId="0CB1025E" w14:textId="77777777" w:rsidR="00541EF2" w:rsidRDefault="00541EF2"/>
    <w:p w14:paraId="7DB49645" w14:textId="35410ADF" w:rsidR="00541EF2" w:rsidRDefault="00516F38">
      <w:pPr>
        <w:spacing w:before="160" w:after="80"/>
      </w:pPr>
      <w:r w:rsidRPr="009F30FA">
        <w:rPr>
          <w:b/>
          <w:bCs/>
          <w:u w:val="single"/>
        </w:rPr>
        <w:t xml:space="preserve">ITEM #6 </w:t>
      </w:r>
      <w:r w:rsidR="00D94D3E">
        <w:rPr>
          <w:b/>
          <w:bCs/>
          <w:u w:val="single"/>
        </w:rPr>
        <w:t xml:space="preserve"> - </w:t>
      </w:r>
      <w:r w:rsidRPr="009F30FA">
        <w:rPr>
          <w:b/>
          <w:bCs/>
          <w:u w:val="single"/>
        </w:rPr>
        <w:t>CEO Hiring Committee Search Update &amp; Board Approval Process Discussion</w:t>
      </w:r>
    </w:p>
    <w:p w14:paraId="13F5C69D" w14:textId="77777777" w:rsidR="00541EF2" w:rsidRDefault="00516F38">
      <w:r>
        <w:rPr>
          <w:i/>
          <w:iCs/>
        </w:rPr>
        <w:t>Kelley Charvet, Board Member/Chief Administrative Officer, CHAS Health</w:t>
      </w:r>
    </w:p>
    <w:p w14:paraId="56D1370C" w14:textId="77777777" w:rsidR="00541EF2" w:rsidRDefault="00541EF2"/>
    <w:p w14:paraId="3339A22C" w14:textId="77777777" w:rsidR="00541EF2" w:rsidRDefault="00516F38">
      <w:pPr>
        <w:spacing w:after="120"/>
      </w:pPr>
      <w:r>
        <w:t>Kelley Charvet reported that Blair Search Partners has built a pool of approximately 90 candidates since the search launched January 23, 2026. The hiring committee will screen candidates through early March; finalist meet-and-greets with the full board are planned for early April, with a board vote anticipated in April. Board members requested greater transparency on candidate profiles and the screening rubric; the committee committed to regular email updates.</w:t>
      </w:r>
    </w:p>
    <w:p w14:paraId="450F5185" w14:textId="77777777" w:rsidR="00541EF2" w:rsidRDefault="00541EF2"/>
    <w:p w14:paraId="77B7257E" w14:textId="24EB7AD5" w:rsidR="00541EF2" w:rsidRPr="009F30FA" w:rsidRDefault="00516F38">
      <w:pPr>
        <w:spacing w:before="160" w:after="80"/>
      </w:pPr>
      <w:r w:rsidRPr="009F30FA">
        <w:rPr>
          <w:b/>
          <w:bCs/>
          <w:u w:val="single"/>
        </w:rPr>
        <w:lastRenderedPageBreak/>
        <w:t xml:space="preserve">ITEM #7 </w:t>
      </w:r>
      <w:r w:rsidR="00D94D3E">
        <w:rPr>
          <w:b/>
          <w:bCs/>
          <w:u w:val="single"/>
        </w:rPr>
        <w:t>-</w:t>
      </w:r>
      <w:r w:rsidRPr="009F30FA">
        <w:rPr>
          <w:b/>
          <w:bCs/>
          <w:u w:val="single"/>
        </w:rPr>
        <w:t xml:space="preserve"> Standing Committee Reports</w:t>
      </w:r>
    </w:p>
    <w:p w14:paraId="48264C3B" w14:textId="249C8305" w:rsidR="00541EF2" w:rsidRDefault="00516F38">
      <w:r>
        <w:rPr>
          <w:i/>
          <w:iCs/>
        </w:rPr>
        <w:t xml:space="preserve">Patti Borchardt, </w:t>
      </w:r>
      <w:r w:rsidR="009F30FA">
        <w:rPr>
          <w:i/>
          <w:iCs/>
        </w:rPr>
        <w:t>Vice</w:t>
      </w:r>
      <w:r>
        <w:rPr>
          <w:i/>
          <w:iCs/>
        </w:rPr>
        <w:t xml:space="preserve"> Chair</w:t>
      </w:r>
    </w:p>
    <w:p w14:paraId="00475E36" w14:textId="77777777" w:rsidR="00541EF2" w:rsidRDefault="00541EF2"/>
    <w:p w14:paraId="4CF5EAE0" w14:textId="77777777" w:rsidR="00541EF2" w:rsidRDefault="00516F38">
      <w:pPr>
        <w:spacing w:after="120"/>
      </w:pPr>
      <w:r>
        <w:rPr>
          <w:b/>
          <w:bCs/>
        </w:rPr>
        <w:t>Executive Committee</w:t>
      </w:r>
    </w:p>
    <w:p w14:paraId="11406221" w14:textId="77777777" w:rsidR="00541EF2" w:rsidRDefault="00516F38">
      <w:pPr>
        <w:spacing w:after="120"/>
      </w:pPr>
      <w:r>
        <w:t>The executive committee took the following action at its January 22, 2026, meeting:</w:t>
      </w:r>
    </w:p>
    <w:p w14:paraId="6E014A2D" w14:textId="77777777" w:rsidR="00541EF2" w:rsidRDefault="00516F38">
      <w:pPr>
        <w:ind w:left="720"/>
        <w:rPr>
          <w:b/>
          <w:bCs/>
          <w:i/>
          <w:iCs/>
        </w:rPr>
      </w:pPr>
      <w:r>
        <w:rPr>
          <w:b/>
          <w:bCs/>
          <w:i/>
          <w:iCs/>
        </w:rPr>
        <w:t>ACTION: Vote to approve bringing in additional WIOA Dislocated Worker funds in the amount of $55,766 and subcontracting $50,189 to the consortium for training and supportive services. Approved unanimously.</w:t>
      </w:r>
    </w:p>
    <w:p w14:paraId="7F7EC26C" w14:textId="77777777" w:rsidR="00D94D3E" w:rsidRDefault="00D94D3E">
      <w:pPr>
        <w:ind w:left="720"/>
      </w:pPr>
    </w:p>
    <w:p w14:paraId="42879769" w14:textId="77777777" w:rsidR="00541EF2" w:rsidRDefault="00516F38">
      <w:pPr>
        <w:spacing w:after="120"/>
      </w:pPr>
      <w:r>
        <w:t>Note: After internal budget review, the remaining $5,577 will also be subcontracted to the consortium at the February 19 Executive Committee meeting.</w:t>
      </w:r>
    </w:p>
    <w:p w14:paraId="66C862BF" w14:textId="77777777" w:rsidR="00541EF2" w:rsidRDefault="00541EF2"/>
    <w:p w14:paraId="39776828" w14:textId="77777777" w:rsidR="00D94D3E" w:rsidRDefault="00D94D3E"/>
    <w:p w14:paraId="30811DCB" w14:textId="77777777" w:rsidR="00541EF2" w:rsidRDefault="00516F38">
      <w:pPr>
        <w:spacing w:after="120"/>
      </w:pPr>
      <w:r>
        <w:rPr>
          <w:b/>
          <w:bCs/>
        </w:rPr>
        <w:t>Services and Oversight Committee (SOC)</w:t>
      </w:r>
    </w:p>
    <w:p w14:paraId="6460B781" w14:textId="77777777" w:rsidR="00541EF2" w:rsidRDefault="00516F38">
      <w:pPr>
        <w:pStyle w:val="ListParagraph"/>
        <w:numPr>
          <w:ilvl w:val="0"/>
          <w:numId w:val="2"/>
        </w:numPr>
        <w:spacing w:after="80"/>
      </w:pPr>
      <w:r>
        <w:t>MOUs were reviewed.</w:t>
      </w:r>
    </w:p>
    <w:p w14:paraId="6D6CC9FE" w14:textId="77777777" w:rsidR="00541EF2" w:rsidRDefault="00516F38">
      <w:pPr>
        <w:pStyle w:val="ListParagraph"/>
        <w:numPr>
          <w:ilvl w:val="0"/>
          <w:numId w:val="2"/>
        </w:numPr>
        <w:spacing w:after="80"/>
      </w:pPr>
      <w:r>
        <w:t>Stacy Goddard (Spokane County Library District) was added as a non-board external member.</w:t>
      </w:r>
    </w:p>
    <w:p w14:paraId="018E1854" w14:textId="3BA6464E" w:rsidR="00541EF2" w:rsidRDefault="00516F38">
      <w:pPr>
        <w:pStyle w:val="ListParagraph"/>
        <w:numPr>
          <w:ilvl w:val="0"/>
          <w:numId w:val="2"/>
        </w:numPr>
        <w:spacing w:after="80"/>
      </w:pPr>
      <w:r>
        <w:t>The committee is exploring a 6-passenger van to support Next</w:t>
      </w:r>
      <w:r w:rsidR="00933144">
        <w:t xml:space="preserve"> </w:t>
      </w:r>
      <w:r>
        <w:t>Gen</w:t>
      </w:r>
      <w:r w:rsidR="00933144">
        <w:t xml:space="preserve"> </w:t>
      </w:r>
      <w:r>
        <w:t>Zone transportation for employer tours and job shadows.</w:t>
      </w:r>
    </w:p>
    <w:p w14:paraId="4347F627" w14:textId="7989840C" w:rsidR="00541EF2" w:rsidRDefault="00516F38">
      <w:pPr>
        <w:pStyle w:val="ListParagraph"/>
        <w:numPr>
          <w:ilvl w:val="0"/>
          <w:numId w:val="2"/>
        </w:numPr>
        <w:spacing w:after="80"/>
      </w:pPr>
      <w:r>
        <w:t xml:space="preserve">Youth Career &amp; Readiness Committee chair </w:t>
      </w:r>
      <w:r w:rsidR="00D94D3E">
        <w:t xml:space="preserve">is scheduled </w:t>
      </w:r>
      <w:r>
        <w:t>to be announced at the next meeting.</w:t>
      </w:r>
    </w:p>
    <w:p w14:paraId="3ABB1361" w14:textId="77777777" w:rsidR="00541EF2" w:rsidRDefault="00541EF2"/>
    <w:p w14:paraId="35E3540B" w14:textId="77777777" w:rsidR="00541EF2" w:rsidRPr="009F30FA" w:rsidRDefault="00516F38">
      <w:pPr>
        <w:spacing w:before="160" w:after="80"/>
      </w:pPr>
      <w:r w:rsidRPr="009F30FA">
        <w:rPr>
          <w:b/>
          <w:bCs/>
          <w:u w:val="single"/>
        </w:rPr>
        <w:t>Other Business</w:t>
      </w:r>
    </w:p>
    <w:p w14:paraId="6D1C01BC" w14:textId="77777777" w:rsidR="00541EF2" w:rsidRDefault="00516F38">
      <w:pPr>
        <w:spacing w:after="120"/>
      </w:pPr>
      <w:r>
        <w:t>The board was informed that the next full board meeting will be held at the SWC offices.</w:t>
      </w:r>
    </w:p>
    <w:p w14:paraId="667B7E08" w14:textId="77777777" w:rsidR="00541EF2" w:rsidRDefault="00541EF2"/>
    <w:p w14:paraId="2A9EF91C" w14:textId="5704F090" w:rsidR="00541EF2" w:rsidRDefault="00516F38">
      <w:pPr>
        <w:spacing w:after="120"/>
      </w:pPr>
      <w:r>
        <w:t>Meeting adjourned at 9:</w:t>
      </w:r>
      <w:r w:rsidR="009F30FA">
        <w:t>28</w:t>
      </w:r>
      <w:r>
        <w:t xml:space="preserve"> AM.</w:t>
      </w:r>
    </w:p>
    <w:p w14:paraId="2FC778D8" w14:textId="77777777" w:rsidR="00541EF2" w:rsidRDefault="00541EF2"/>
    <w:p w14:paraId="1273CFDC" w14:textId="77777777" w:rsidR="00541EF2" w:rsidRPr="009F30FA" w:rsidRDefault="00516F38">
      <w:pPr>
        <w:spacing w:before="160" w:after="80"/>
      </w:pPr>
      <w:r w:rsidRPr="009F30FA">
        <w:rPr>
          <w:b/>
          <w:bCs/>
          <w:u w:val="single"/>
        </w:rPr>
        <w:t>NEXT MEETING:</w:t>
      </w:r>
    </w:p>
    <w:p w14:paraId="7FF9F925" w14:textId="4EFD25D4" w:rsidR="00541EF2" w:rsidRDefault="00516F38">
      <w:pPr>
        <w:spacing w:after="120"/>
      </w:pPr>
      <w:r>
        <w:t xml:space="preserve">The next Full Board Spokane Workforce Council Meeting </w:t>
      </w:r>
      <w:r w:rsidR="008C45DD">
        <w:t>will be held on</w:t>
      </w:r>
      <w:r>
        <w:t xml:space="preserve"> </w:t>
      </w:r>
      <w:r w:rsidR="009F30FA">
        <w:t>April 8</w:t>
      </w:r>
      <w:r>
        <w:t>, 2026.</w:t>
      </w:r>
    </w:p>
    <w:sectPr w:rsidR="00541EF2">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30513"/>
    <w:multiLevelType w:val="hybridMultilevel"/>
    <w:tmpl w:val="D4DA3D94"/>
    <w:lvl w:ilvl="0" w:tplc="E5603D06">
      <w:start w:val="1"/>
      <w:numFmt w:val="bullet"/>
      <w:lvlText w:val="●"/>
      <w:lvlJc w:val="left"/>
      <w:pPr>
        <w:ind w:left="720" w:hanging="360"/>
      </w:pPr>
    </w:lvl>
    <w:lvl w:ilvl="1" w:tplc="8FFC5066">
      <w:start w:val="1"/>
      <w:numFmt w:val="bullet"/>
      <w:lvlText w:val="○"/>
      <w:lvlJc w:val="left"/>
      <w:pPr>
        <w:ind w:left="1440" w:hanging="360"/>
      </w:pPr>
    </w:lvl>
    <w:lvl w:ilvl="2" w:tplc="D452044A">
      <w:start w:val="1"/>
      <w:numFmt w:val="bullet"/>
      <w:lvlText w:val="■"/>
      <w:lvlJc w:val="left"/>
      <w:pPr>
        <w:ind w:left="2160" w:hanging="360"/>
      </w:pPr>
    </w:lvl>
    <w:lvl w:ilvl="3" w:tplc="F996973E">
      <w:start w:val="1"/>
      <w:numFmt w:val="bullet"/>
      <w:lvlText w:val="●"/>
      <w:lvlJc w:val="left"/>
      <w:pPr>
        <w:ind w:left="2880" w:hanging="360"/>
      </w:pPr>
    </w:lvl>
    <w:lvl w:ilvl="4" w:tplc="B93A75D0">
      <w:start w:val="1"/>
      <w:numFmt w:val="bullet"/>
      <w:lvlText w:val="○"/>
      <w:lvlJc w:val="left"/>
      <w:pPr>
        <w:ind w:left="3600" w:hanging="360"/>
      </w:pPr>
    </w:lvl>
    <w:lvl w:ilvl="5" w:tplc="1818975C">
      <w:start w:val="1"/>
      <w:numFmt w:val="bullet"/>
      <w:lvlText w:val="■"/>
      <w:lvlJc w:val="left"/>
      <w:pPr>
        <w:ind w:left="4320" w:hanging="360"/>
      </w:pPr>
    </w:lvl>
    <w:lvl w:ilvl="6" w:tplc="336C03CE">
      <w:start w:val="1"/>
      <w:numFmt w:val="bullet"/>
      <w:lvlText w:val="●"/>
      <w:lvlJc w:val="left"/>
      <w:pPr>
        <w:ind w:left="5040" w:hanging="360"/>
      </w:pPr>
    </w:lvl>
    <w:lvl w:ilvl="7" w:tplc="6442ADD2">
      <w:start w:val="1"/>
      <w:numFmt w:val="bullet"/>
      <w:lvlText w:val="●"/>
      <w:lvlJc w:val="left"/>
      <w:pPr>
        <w:ind w:left="5760" w:hanging="360"/>
      </w:pPr>
    </w:lvl>
    <w:lvl w:ilvl="8" w:tplc="D276B4B0">
      <w:start w:val="1"/>
      <w:numFmt w:val="bullet"/>
      <w:lvlText w:val="●"/>
      <w:lvlJc w:val="left"/>
      <w:pPr>
        <w:ind w:left="6480" w:hanging="360"/>
      </w:pPr>
    </w:lvl>
  </w:abstractNum>
  <w:abstractNum w:abstractNumId="1" w15:restartNumberingAfterBreak="0">
    <w:nsid w:val="7A0742FF"/>
    <w:multiLevelType w:val="hybridMultilevel"/>
    <w:tmpl w:val="D18467E2"/>
    <w:lvl w:ilvl="0" w:tplc="C7E42A78">
      <w:start w:val="1"/>
      <w:numFmt w:val="bullet"/>
      <w:lvlText w:val="•"/>
      <w:lvlJc w:val="left"/>
      <w:pPr>
        <w:ind w:left="720" w:hanging="360"/>
      </w:pPr>
    </w:lvl>
    <w:lvl w:ilvl="1" w:tplc="B5589F1E">
      <w:numFmt w:val="decimal"/>
      <w:lvlText w:val=""/>
      <w:lvlJc w:val="left"/>
    </w:lvl>
    <w:lvl w:ilvl="2" w:tplc="BB04383E">
      <w:numFmt w:val="decimal"/>
      <w:lvlText w:val=""/>
      <w:lvlJc w:val="left"/>
    </w:lvl>
    <w:lvl w:ilvl="3" w:tplc="01DEFACE">
      <w:numFmt w:val="decimal"/>
      <w:lvlText w:val=""/>
      <w:lvlJc w:val="left"/>
    </w:lvl>
    <w:lvl w:ilvl="4" w:tplc="4A4805B4">
      <w:numFmt w:val="decimal"/>
      <w:lvlText w:val=""/>
      <w:lvlJc w:val="left"/>
    </w:lvl>
    <w:lvl w:ilvl="5" w:tplc="420AC68E">
      <w:numFmt w:val="decimal"/>
      <w:lvlText w:val=""/>
      <w:lvlJc w:val="left"/>
    </w:lvl>
    <w:lvl w:ilvl="6" w:tplc="E8406378">
      <w:numFmt w:val="decimal"/>
      <w:lvlText w:val=""/>
      <w:lvlJc w:val="left"/>
    </w:lvl>
    <w:lvl w:ilvl="7" w:tplc="55AADD8A">
      <w:numFmt w:val="decimal"/>
      <w:lvlText w:val=""/>
      <w:lvlJc w:val="left"/>
    </w:lvl>
    <w:lvl w:ilvl="8" w:tplc="A4D0615A">
      <w:numFmt w:val="decimal"/>
      <w:lvlText w:val=""/>
      <w:lvlJc w:val="left"/>
    </w:lvl>
  </w:abstractNum>
  <w:num w:numId="1" w16cid:durableId="662707776">
    <w:abstractNumId w:val="0"/>
    <w:lvlOverride w:ilvl="0">
      <w:startOverride w:val="1"/>
    </w:lvlOverride>
  </w:num>
  <w:num w:numId="2" w16cid:durableId="19771799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F2"/>
    <w:rsid w:val="000C6067"/>
    <w:rsid w:val="001247D2"/>
    <w:rsid w:val="00293C06"/>
    <w:rsid w:val="00400411"/>
    <w:rsid w:val="00516F38"/>
    <w:rsid w:val="00541EF2"/>
    <w:rsid w:val="00551558"/>
    <w:rsid w:val="00577FFE"/>
    <w:rsid w:val="006A1FE2"/>
    <w:rsid w:val="008C45DD"/>
    <w:rsid w:val="00916890"/>
    <w:rsid w:val="00933144"/>
    <w:rsid w:val="009F30FA"/>
    <w:rsid w:val="00C209DE"/>
    <w:rsid w:val="00C75258"/>
    <w:rsid w:val="00D25668"/>
    <w:rsid w:val="00D9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4280"/>
  <w15:docId w15:val="{3841D8CF-BD63-4A63-A19A-85BE9EDD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rsid w:val="00293C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93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4315</TotalTime>
  <Pages>4</Pages>
  <Words>1142</Words>
  <Characters>7025</Characters>
  <Application>Microsoft Office Word</Application>
  <DocSecurity>0</DocSecurity>
  <Lines>212</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Jeanette Facer</cp:lastModifiedBy>
  <cp:revision>7</cp:revision>
  <dcterms:created xsi:type="dcterms:W3CDTF">2026-03-27T18:49:00Z</dcterms:created>
  <dcterms:modified xsi:type="dcterms:W3CDTF">2026-04-05T22:17:00Z</dcterms:modified>
</cp:coreProperties>
</file>